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无线厅堂扩声特性测量系统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8.3万元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9E3" w:rsidRDefault="00B60809" w:rsidP="00F3747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br w:type="page"/>
            </w:r>
            <w:r w:rsidR="000929E3">
              <w:rPr>
                <w:rFonts w:ascii="宋体" w:hAnsi="宋体" w:hint="eastAsia"/>
                <w:b/>
                <w:szCs w:val="21"/>
              </w:rPr>
              <w:t>主要技术参数</w:t>
            </w:r>
          </w:p>
          <w:p w:rsidR="00241983" w:rsidRDefault="00241983" w:rsidP="00F3747C">
            <w:pPr>
              <w:numPr>
                <w:ilvl w:val="0"/>
                <w:numId w:val="2"/>
              </w:numPr>
              <w:adjustRightInd w:val="0"/>
              <w:snapToGrid w:val="0"/>
              <w:spacing w:beforeLines="50" w:afterLines="50"/>
              <w:ind w:left="1265"/>
            </w:pPr>
            <w:r>
              <w:rPr>
                <w:rFonts w:hint="eastAsia"/>
              </w:rPr>
              <w:t>无线声级计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</w:pP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GB/T 3785.1-2010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IEC 61672-1:2013 1</w:t>
            </w:r>
            <w:r>
              <w:rPr>
                <w:rFonts w:hint="eastAsia"/>
              </w:rPr>
              <w:t>级，具有计量器具型式批准证书。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能够通过W</w:t>
            </w:r>
            <w:r>
              <w:rPr>
                <w:rFonts w:ascii="宋体" w:hAnsi="宋体"/>
                <w:szCs w:val="21"/>
              </w:rPr>
              <w:t>IFI</w:t>
            </w:r>
            <w:r>
              <w:rPr>
                <w:rFonts w:ascii="宋体" w:hAnsi="宋体" w:hint="eastAsia"/>
                <w:szCs w:val="21"/>
              </w:rPr>
              <w:t>将测得的噪声数据发送到智能设备上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</w:pPr>
            <w:r>
              <w:rPr>
                <w:rFonts w:ascii="宋体" w:hAnsi="宋体" w:hint="eastAsia"/>
                <w:szCs w:val="21"/>
              </w:rPr>
              <w:t>频率范围：</w:t>
            </w:r>
            <w:r>
              <w:rPr>
                <w:rFonts w:hint="eastAsia"/>
              </w:rPr>
              <w:t>10Hz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20kHz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本机电噪声：小于A计权4μV，C计权7μV，Z计权13μV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频率计权：A、C、Z计权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时间计权：F（快），S（慢），I（脉冲）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WIFI模式：AP模式、STA模式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主要功能：统计分析</w:t>
            </w:r>
          </w:p>
          <w:p w:rsidR="00241983" w:rsidRDefault="00241983" w:rsidP="00F3747C">
            <w:pPr>
              <w:numPr>
                <w:ilvl w:val="0"/>
                <w:numId w:val="2"/>
              </w:numPr>
              <w:adjustRightInd w:val="0"/>
              <w:snapToGrid w:val="0"/>
              <w:spacing w:beforeLines="50" w:afterLines="50"/>
              <w:ind w:left="1265"/>
            </w:pPr>
            <w:r>
              <w:rPr>
                <w:rFonts w:hint="eastAsia"/>
              </w:rPr>
              <w:t>有源十二面体声源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外形尺寸：直径小于等于280mm 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额定阻抗：4Ω；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指向性指数：&lt;9dB (100-630)Hz±2 dB, 800Hz±5 dB, (1-10)kHz±8dB 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最大声功率级：110 dB；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频率范围：100 Hz~10 kHz 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总质量：小于等于7.8 kg；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自带功率放大器</w:t>
            </w:r>
          </w:p>
          <w:p w:rsidR="00241983" w:rsidRDefault="00241983" w:rsidP="00F3747C">
            <w:pPr>
              <w:numPr>
                <w:ilvl w:val="0"/>
                <w:numId w:val="2"/>
              </w:numPr>
              <w:adjustRightInd w:val="0"/>
              <w:snapToGrid w:val="0"/>
              <w:spacing w:beforeLines="50" w:afterLines="50"/>
              <w:ind w:left="1265"/>
            </w:pPr>
            <w:r>
              <w:rPr>
                <w:rFonts w:hint="eastAsia"/>
              </w:rPr>
              <w:t>其他配件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平板电脑：测量及计算平台，系统为Android；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无线路由器：1对；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固定支架：2个；</w:t>
            </w:r>
          </w:p>
          <w:p w:rsidR="00241983" w:rsidRDefault="00241983" w:rsidP="00F3747C">
            <w:pPr>
              <w:numPr>
                <w:ilvl w:val="0"/>
                <w:numId w:val="2"/>
              </w:numPr>
              <w:adjustRightInd w:val="0"/>
              <w:snapToGrid w:val="0"/>
              <w:spacing w:beforeLines="50" w:afterLines="50"/>
              <w:ind w:left="1265"/>
            </w:pPr>
            <w:r>
              <w:rPr>
                <w:rFonts w:hint="eastAsia"/>
              </w:rPr>
              <w:t>声学信号发生器（</w:t>
            </w:r>
            <w:r>
              <w:rPr>
                <w:rFonts w:hint="eastAsia"/>
              </w:rPr>
              <w:t>STIPA</w:t>
            </w:r>
            <w:r>
              <w:rPr>
                <w:rFonts w:hint="eastAsia"/>
              </w:rPr>
              <w:t>参考声源）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符合标准：IEC60268-16，GB/T 4959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单一指向声源。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声源电平与正常说话声压级相当，声压级使用A计权，距离测试扬声器0. 5 m处为</w:t>
            </w:r>
            <w:r>
              <w:rPr>
                <w:rFonts w:ascii="宋体" w:hAnsi="宋体" w:hint="eastAsia"/>
                <w:szCs w:val="21"/>
                <w:lang w:val="zh-TW" w:eastAsia="zh-TW"/>
              </w:rPr>
              <w:t xml:space="preserve">66 </w:t>
            </w:r>
            <w:r>
              <w:rPr>
                <w:rFonts w:ascii="宋体" w:hAnsi="宋体" w:hint="eastAsia"/>
                <w:szCs w:val="21"/>
              </w:rPr>
              <w:t>dB，1m处为60dB.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频率范围88 Hz〜11. 3 kHz</w:t>
            </w:r>
            <w:r>
              <w:rPr>
                <w:rFonts w:ascii="宋体" w:hAnsi="宋体" w:hint="eastAsia"/>
                <w:szCs w:val="21"/>
                <w:lang w:val="zh-CN"/>
              </w:rPr>
              <w:t>内±</w:t>
            </w:r>
            <w:r>
              <w:rPr>
                <w:rFonts w:ascii="宋体" w:hAnsi="宋体" w:hint="eastAsia"/>
                <w:szCs w:val="21"/>
              </w:rPr>
              <w:t>1 dB。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最大外形尺寸：150*150*175，模拟人类演讲者（依据</w:t>
            </w:r>
            <w:r>
              <w:rPr>
                <w:rFonts w:hint="eastAsia"/>
              </w:rPr>
              <w:t>GB/T4959-2011</w:t>
            </w:r>
            <w:r>
              <w:rPr>
                <w:rFonts w:ascii="宋体" w:hAnsi="宋体" w:hint="eastAsia"/>
                <w:szCs w:val="21"/>
              </w:rPr>
              <w:t xml:space="preserve"> 标准）发出 STIPA 测试信号和语音信息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波形：白噪声、粉红噪声、正弦1000Hz、参考语音信号、STI测试信号、窄带噪声。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电信号输入：BNC接口，最大输入电压1V。内部延迟从输入到扬声器：59ms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电信号输出：BNC接口，最大输出电压1V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电源：内置可充电池</w:t>
            </w:r>
          </w:p>
          <w:p w:rsidR="00241983" w:rsidRDefault="00241983" w:rsidP="00B60809">
            <w:pPr>
              <w:numPr>
                <w:ilvl w:val="0"/>
                <w:numId w:val="3"/>
              </w:numPr>
              <w:ind w:left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可串口或无线控制</w:t>
            </w:r>
          </w:p>
          <w:p w:rsidR="000929E3" w:rsidRDefault="000929E3" w:rsidP="00B60809">
            <w:pPr>
              <w:ind w:leftChars="200" w:left="420" w:firstLineChars="200" w:firstLine="420"/>
              <w:rPr>
                <w:rFonts w:ascii="宋体" w:hAnsi="宋体" w:cs="宋体"/>
                <w:color w:val="454545"/>
                <w:szCs w:val="21"/>
              </w:rPr>
            </w:pPr>
          </w:p>
          <w:p w:rsidR="000929E3" w:rsidRDefault="000929E3" w:rsidP="00B60809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配置</w:t>
            </w:r>
            <w:r w:rsidR="00241983">
              <w:rPr>
                <w:rFonts w:ascii="宋体" w:hAnsi="宋体" w:hint="eastAsia"/>
                <w:b/>
                <w:szCs w:val="21"/>
              </w:rPr>
              <w:t>清单</w:t>
            </w: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421"/>
              <w:gridCol w:w="3260"/>
              <w:gridCol w:w="3402"/>
              <w:gridCol w:w="1215"/>
            </w:tblGrid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描述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数量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有源正十二面体声源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含功率放大器和正十二面体声源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1套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无线信号发生器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作为电信号输入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1台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241983" w:rsidRDefault="00414344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采集仪（声级计）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数据采集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2台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子母路由器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/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1对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平板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/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1台</w:t>
                  </w:r>
                </w:p>
              </w:tc>
            </w:tr>
            <w:tr w:rsidR="00241983" w:rsidTr="00414344">
              <w:trPr>
                <w:jc w:val="center"/>
              </w:trPr>
              <w:tc>
                <w:tcPr>
                  <w:tcW w:w="421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STIPA参靠声源</w:t>
                  </w:r>
                </w:p>
              </w:tc>
              <w:tc>
                <w:tcPr>
                  <w:tcW w:w="3402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STIPA参靠声源，符合GB/T4959中对声源的要求</w:t>
                  </w:r>
                </w:p>
              </w:tc>
              <w:tc>
                <w:tcPr>
                  <w:tcW w:w="1215" w:type="dxa"/>
                </w:tcPr>
                <w:p w:rsidR="00241983" w:rsidRDefault="00241983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1台</w:t>
                  </w:r>
                </w:p>
              </w:tc>
            </w:tr>
            <w:tr w:rsidR="00414344" w:rsidTr="00414344">
              <w:trPr>
                <w:jc w:val="center"/>
              </w:trPr>
              <w:tc>
                <w:tcPr>
                  <w:tcW w:w="421" w:type="dxa"/>
                </w:tcPr>
                <w:p w:rsidR="00414344" w:rsidRDefault="00414344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414344" w:rsidRDefault="00414344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声校准器</w:t>
                  </w:r>
                </w:p>
              </w:tc>
              <w:tc>
                <w:tcPr>
                  <w:tcW w:w="3402" w:type="dxa"/>
                </w:tcPr>
                <w:p w:rsidR="00414344" w:rsidRDefault="00414344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标准声源</w:t>
                  </w:r>
                </w:p>
              </w:tc>
              <w:tc>
                <w:tcPr>
                  <w:tcW w:w="1215" w:type="dxa"/>
                </w:tcPr>
                <w:p w:rsidR="00414344" w:rsidRDefault="00414344" w:rsidP="00B60809">
                  <w:pPr>
                    <w:rPr>
                      <w:rFonts w:ascii="仿宋" w:eastAsia="仿宋" w:hAnsi="仿宋" w:cs="仿宋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 w:val="21"/>
                      <w:szCs w:val="21"/>
                    </w:rPr>
                    <w:t>1台</w:t>
                  </w:r>
                </w:p>
              </w:tc>
            </w:tr>
          </w:tbl>
          <w:p w:rsidR="000929E3" w:rsidRDefault="000929E3" w:rsidP="00B60809">
            <w:pPr>
              <w:ind w:leftChars="200" w:left="420" w:firstLineChars="200" w:firstLine="420"/>
              <w:rPr>
                <w:rFonts w:ascii="宋体" w:hAnsi="宋体" w:cs="宋体"/>
                <w:color w:val="454545"/>
                <w:szCs w:val="21"/>
              </w:rPr>
            </w:pPr>
            <w:bookmarkStart w:id="0" w:name="_GoBack"/>
            <w:bookmarkEnd w:id="0"/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16" w:rsidRDefault="002A7016" w:rsidP="000929E3">
      <w:r>
        <w:separator/>
      </w:r>
    </w:p>
  </w:endnote>
  <w:endnote w:type="continuationSeparator" w:id="0">
    <w:p w:rsidR="002A7016" w:rsidRDefault="002A7016" w:rsidP="0009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16" w:rsidRDefault="002A7016" w:rsidP="000929E3">
      <w:r>
        <w:separator/>
      </w:r>
    </w:p>
  </w:footnote>
  <w:footnote w:type="continuationSeparator" w:id="0">
    <w:p w:rsidR="002A7016" w:rsidRDefault="002A7016" w:rsidP="00092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E7E"/>
    <w:rsid w:val="000929E3"/>
    <w:rsid w:val="000B374D"/>
    <w:rsid w:val="001B513D"/>
    <w:rsid w:val="0021015A"/>
    <w:rsid w:val="00241983"/>
    <w:rsid w:val="002A7016"/>
    <w:rsid w:val="00414344"/>
    <w:rsid w:val="00485E7E"/>
    <w:rsid w:val="009310F7"/>
    <w:rsid w:val="009E666A"/>
    <w:rsid w:val="00B60809"/>
    <w:rsid w:val="00F3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lenovo</cp:lastModifiedBy>
  <cp:revision>4</cp:revision>
  <dcterms:created xsi:type="dcterms:W3CDTF">2024-04-22T06:14:00Z</dcterms:created>
  <dcterms:modified xsi:type="dcterms:W3CDTF">2024-06-05T05:48:00Z</dcterms:modified>
</cp:coreProperties>
</file>