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0" w:type="dxa"/>
        <w:tblInd w:w="-176" w:type="dxa"/>
        <w:tblLayout w:type="fixed"/>
        <w:tblLook w:val="0000"/>
      </w:tblPr>
      <w:tblGrid>
        <w:gridCol w:w="535"/>
        <w:gridCol w:w="964"/>
        <w:gridCol w:w="912"/>
        <w:gridCol w:w="1134"/>
        <w:gridCol w:w="1842"/>
        <w:gridCol w:w="1134"/>
        <w:gridCol w:w="1418"/>
        <w:gridCol w:w="1012"/>
        <w:gridCol w:w="689"/>
        <w:gridCol w:w="851"/>
        <w:gridCol w:w="991"/>
        <w:gridCol w:w="992"/>
        <w:gridCol w:w="689"/>
        <w:gridCol w:w="1247"/>
      </w:tblGrid>
      <w:tr w:rsidR="00501859" w:rsidRPr="00921BB7" w:rsidTr="00E17A04">
        <w:trPr>
          <w:trHeight w:val="310"/>
        </w:trPr>
        <w:tc>
          <w:tcPr>
            <w:tcW w:w="144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859" w:rsidRPr="009D1982" w:rsidRDefault="00501859" w:rsidP="00E17A04">
            <w:pPr>
              <w:widowControl/>
              <w:jc w:val="left"/>
              <w:rPr>
                <w:rFonts w:ascii="楷体_GB2312" w:eastAsia="楷体_GB2312" w:hAnsi="宋体" w:cs="宋体"/>
                <w:bCs/>
                <w:kern w:val="0"/>
                <w:sz w:val="36"/>
                <w:szCs w:val="36"/>
              </w:rPr>
            </w:pPr>
            <w:r w:rsidRPr="001D1987"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  <w:t>附件</w:t>
            </w:r>
            <w:r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  <w:t>一</w:t>
            </w:r>
            <w:r w:rsidRPr="001D1987"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  <w:t>：</w:t>
            </w:r>
            <w:r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  <w:t xml:space="preserve">                                                        </w:t>
            </w:r>
            <w:r w:rsidRPr="009D1982">
              <w:rPr>
                <w:rFonts w:ascii="楷体_GB2312" w:eastAsia="楷体_GB2312" w:hAnsi="宋体" w:cs="宋体" w:hint="eastAsia"/>
                <w:bCs/>
                <w:kern w:val="0"/>
                <w:sz w:val="36"/>
                <w:szCs w:val="36"/>
              </w:rPr>
              <w:t>报  价  单</w:t>
            </w:r>
          </w:p>
        </w:tc>
      </w:tr>
      <w:tr w:rsidR="00501859" w:rsidRPr="009D1982" w:rsidTr="00E17A04">
        <w:trPr>
          <w:trHeight w:val="321"/>
        </w:trPr>
        <w:tc>
          <w:tcPr>
            <w:tcW w:w="1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公司名称（盖章）</w:t>
            </w:r>
          </w:p>
        </w:tc>
        <w:tc>
          <w:tcPr>
            <w:tcW w:w="20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报价日期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邮寄地址</w:t>
            </w:r>
          </w:p>
        </w:tc>
        <w:tc>
          <w:tcPr>
            <w:tcW w:w="647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501859" w:rsidRPr="009D1982" w:rsidTr="00E17A04">
        <w:trPr>
          <w:trHeight w:val="327"/>
        </w:trPr>
        <w:tc>
          <w:tcPr>
            <w:tcW w:w="1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0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647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50185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501859" w:rsidRPr="009D1982" w:rsidTr="00E17A04">
        <w:trPr>
          <w:trHeight w:val="333"/>
        </w:trPr>
        <w:tc>
          <w:tcPr>
            <w:tcW w:w="1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0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传真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传真</w:t>
            </w:r>
          </w:p>
        </w:tc>
        <w:tc>
          <w:tcPr>
            <w:tcW w:w="647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50185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501859" w:rsidRPr="009D1982" w:rsidTr="00E17A04">
        <w:trPr>
          <w:trHeight w:val="339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序</w:t>
            </w:r>
          </w:p>
        </w:tc>
        <w:tc>
          <w:tcPr>
            <w:tcW w:w="18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采购设备名称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292214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92214">
              <w:rPr>
                <w:rFonts w:ascii="楷体_GB2312" w:eastAsia="楷体_GB2312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292214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92214">
              <w:rPr>
                <w:rFonts w:ascii="楷体_GB2312" w:eastAsia="楷体_GB2312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技术指标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推荐生产厂家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质保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292214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92214">
              <w:rPr>
                <w:rFonts w:ascii="楷体_GB2312" w:eastAsia="楷体_GB2312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培训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限</w:t>
            </w: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单价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限</w:t>
            </w: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总价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292214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92214">
              <w:rPr>
                <w:rFonts w:ascii="楷体_GB2312" w:eastAsia="楷体_GB2312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货期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是否符合国家规定的安全技术标准</w:t>
            </w:r>
          </w:p>
        </w:tc>
      </w:tr>
      <w:tr w:rsidR="00A07F03" w:rsidRPr="009D1982" w:rsidTr="0014312E">
        <w:trPr>
          <w:trHeight w:val="522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F03" w:rsidRPr="009D1982" w:rsidRDefault="00A07F03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F03" w:rsidRDefault="000B56A0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 w:rsidRPr="000B56A0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道路照明</w:t>
            </w:r>
            <w:r w:rsidR="00A07F03"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成像亮度计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F03" w:rsidRDefault="00A07F03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781" w:rsidRPr="00A83781" w:rsidRDefault="00A83781" w:rsidP="00A07F03">
            <w:pPr>
              <w:widowControl/>
              <w:spacing w:line="240" w:lineRule="exact"/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类似项目参与经历不少于5次，并提供对应产品照片和技术参数。</w:t>
            </w:r>
          </w:p>
          <w:p w:rsidR="00C1070A" w:rsidRDefault="00C1070A" w:rsidP="00A07F0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满足GB/T5700-2008、CJJ45-2015标准测试要求。</w:t>
            </w:r>
          </w:p>
          <w:p w:rsidR="00A07F03" w:rsidRDefault="00A07F03" w:rsidP="00A07F0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功能：</w:t>
            </w:r>
          </w:p>
          <w:p w:rsidR="00A07F03" w:rsidRPr="00A07F03" w:rsidRDefault="00A07F03" w:rsidP="00A07F0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1、</w:t>
            </w:r>
            <w:r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道路照明场景的亮度和亮度均匀性分析；包括:全局亮度最大值、最小值、平均值、亮度均匀性，指定区域亮度最大值、最小值、平均值及亮度均匀性等。</w:t>
            </w:r>
          </w:p>
          <w:p w:rsidR="00A07F03" w:rsidRPr="00A07F03" w:rsidRDefault="00A07F03" w:rsidP="00A07F0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2、</w:t>
            </w:r>
            <w:r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道路照明阈值增量TI的评估；包括：眩光源自动寻找和定位，眩光源的亮度、立体角、方位角，观察点上的道路照明阈值增量等。</w:t>
            </w:r>
          </w:p>
          <w:p w:rsidR="00A07F03" w:rsidRDefault="00A07F03" w:rsidP="00A07F0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3、</w:t>
            </w:r>
            <w:r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道路照明路面的亮度和均匀性分析；包括：车道区域亮度分布、整体均匀性及车道纵向亮度均匀性等。</w:t>
            </w:r>
          </w:p>
          <w:p w:rsidR="00A07F03" w:rsidRDefault="00A07F03" w:rsidP="00A07F0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技术指标：</w:t>
            </w:r>
          </w:p>
          <w:p w:rsidR="00A07F03" w:rsidRPr="00A07F03" w:rsidRDefault="000B56A0" w:rsidP="00A07F0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1</w:t>
            </w:r>
            <w:r w:rsidR="00A07F03" w:rsidRPr="00501859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、</w:t>
            </w:r>
            <w:r w:rsidR="00A07F03"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道路</w:t>
            </w:r>
            <w:r w:rsidR="00A07F03"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  <w:t>照明全局亮度测试点</w:t>
            </w:r>
            <w:r w:rsidR="00A07F03"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不少于6</w:t>
            </w:r>
            <w:r w:rsidR="00A07F03"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  <w:t>30万</w:t>
            </w:r>
            <w:r w:rsidR="00A07F03"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点</w:t>
            </w:r>
          </w:p>
          <w:p w:rsidR="00A07F03" w:rsidRPr="00A07F03" w:rsidRDefault="000B56A0" w:rsidP="00A07F0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2</w:t>
            </w:r>
            <w:r w:rsidR="00A07F03"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、</w:t>
            </w:r>
            <w:r w:rsidR="00A07F03"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  <w:t>道路照明亮度空间分辨率</w:t>
            </w:r>
            <w:r w:rsidR="00A07F03"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不大于0</w:t>
            </w:r>
            <w:r w:rsidR="00A07F03"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  <w:t>.3度</w:t>
            </w:r>
          </w:p>
          <w:p w:rsidR="00A07F03" w:rsidRPr="00A07F03" w:rsidRDefault="000B56A0" w:rsidP="00A07F0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3</w:t>
            </w:r>
            <w:r w:rsidR="00A07F03"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、</w:t>
            </w:r>
            <w:r w:rsidR="00A07F03"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  <w:t xml:space="preserve">测试曝光时间：0.25ms 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-</w:t>
            </w:r>
            <w:r w:rsidR="00A07F03"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  <w:t>2000ms</w:t>
            </w:r>
          </w:p>
          <w:p w:rsidR="00A07F03" w:rsidRPr="00A07F03" w:rsidRDefault="000B56A0" w:rsidP="00A07F0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4</w:t>
            </w:r>
            <w:r w:rsidR="00A07F03"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、</w:t>
            </w:r>
            <w:r w:rsidR="00A07F03"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  <w:t>亮度范围：0.1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-</w:t>
            </w:r>
            <w:r w:rsidR="00A07F03"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  <w:t xml:space="preserve"> 1000000 cd/m</w:t>
            </w:r>
            <w:r w:rsidR="00A07F03"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  <w:t>²</w:t>
            </w:r>
            <w:r w:rsidR="00A07F03"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（可根据需要扩展）</w:t>
            </w:r>
          </w:p>
          <w:p w:rsidR="00A07F03" w:rsidRPr="00A07F03" w:rsidRDefault="000B56A0" w:rsidP="00A07F0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5</w:t>
            </w:r>
            <w:r w:rsidR="00A07F03"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、</w:t>
            </w:r>
            <w:r w:rsidR="00A07F03"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  <w:t>亮度测试精度：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≤</w:t>
            </w:r>
            <w:r w:rsidR="00A07F03"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  <w:t>±</w:t>
            </w:r>
            <w:r w:rsidR="00A07F03"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  <w:t>5%</w:t>
            </w:r>
          </w:p>
          <w:p w:rsidR="00A07F03" w:rsidRPr="00A07F03" w:rsidRDefault="000B56A0" w:rsidP="00A07F0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6</w:t>
            </w:r>
            <w:r w:rsidR="00A07F03"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、</w:t>
            </w:r>
            <w:r w:rsidR="00A07F03"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  <w:t>亮度测试重复性：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≤</w:t>
            </w:r>
            <w:r w:rsidR="00A07F03"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  <w:t>1%</w:t>
            </w:r>
          </w:p>
          <w:p w:rsidR="00A07F03" w:rsidRPr="00501859" w:rsidRDefault="000B56A0" w:rsidP="00A07F0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7</w:t>
            </w:r>
            <w:r w:rsidR="00A07F03"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、</w:t>
            </w:r>
            <w:r w:rsidR="00A07F03"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  <w:t>亮度图像畸变：&lt; 0.3%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F03" w:rsidRPr="007C0871" w:rsidRDefault="00A07F03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07F03" w:rsidRPr="001F763A" w:rsidRDefault="00A07F03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不低于3年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F03" w:rsidRPr="006B05BF" w:rsidRDefault="00A07F03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现场操作培训不少于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天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F03" w:rsidRPr="006B05BF" w:rsidRDefault="00A07F03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7F03" w:rsidRPr="006B05BF" w:rsidRDefault="00A07F03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F03" w:rsidRPr="006B05BF" w:rsidRDefault="00A07F03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F03" w:rsidRPr="006B05BF" w:rsidRDefault="000B56A0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A07F03">
              <w:rPr>
                <w:rFonts w:hint="eastAsia"/>
                <w:sz w:val="18"/>
                <w:szCs w:val="18"/>
              </w:rPr>
              <w:t>个月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F03" w:rsidRPr="006B05BF" w:rsidRDefault="00A07F03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A07F03" w:rsidRPr="009D1982" w:rsidTr="0014312E">
        <w:trPr>
          <w:trHeight w:val="522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F03" w:rsidRPr="009D1982" w:rsidRDefault="00A07F03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F03" w:rsidRDefault="00A07F03" w:rsidP="00A07F03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眩光亮度计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F03" w:rsidRPr="002379CD" w:rsidRDefault="00A07F03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781" w:rsidRDefault="00A83781" w:rsidP="00A07F03">
            <w:pPr>
              <w:widowControl/>
              <w:spacing w:line="240" w:lineRule="exact"/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类似项目参与经历不少于5次，并提供对应产品照片和技术参数。</w:t>
            </w:r>
          </w:p>
          <w:p w:rsidR="00C1070A" w:rsidRDefault="00C1070A" w:rsidP="00A07F0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满足</w:t>
            </w:r>
            <w:r w:rsidR="00802E5B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GB/T5700-2008、GB7793-2010、GB50034-2013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标准测试要求</w:t>
            </w:r>
          </w:p>
          <w:p w:rsidR="00A07F03" w:rsidRDefault="00A07F03" w:rsidP="00A07F0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功能：</w:t>
            </w:r>
          </w:p>
          <w:p w:rsidR="00A07F03" w:rsidRDefault="00A07F03" w:rsidP="00A07F0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  <w:t>室内眩光UGR、区域亮度cd/m</w:t>
            </w:r>
            <w:r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  <w:vertAlign w:val="superscript"/>
              </w:rPr>
              <w:t>2</w:t>
            </w:r>
            <w:r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  <w:t>、最大亮度cd/m</w:t>
            </w:r>
            <w:r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  <w:vertAlign w:val="superscript"/>
              </w:rPr>
              <w:t>2</w:t>
            </w:r>
            <w:r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  <w:t>、最小亮度cd/m</w:t>
            </w:r>
            <w:r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  <w:vertAlign w:val="superscript"/>
              </w:rPr>
              <w:t>2</w:t>
            </w:r>
            <w:r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  <w:t>、平均亮度cd/m</w:t>
            </w:r>
            <w:r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  <w:vertAlign w:val="superscript"/>
              </w:rPr>
              <w:t>2</w:t>
            </w:r>
            <w:r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  <w:t>、亮度阈值cd/m</w:t>
            </w:r>
            <w:r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  <w:vertAlign w:val="superscript"/>
              </w:rPr>
              <w:t>2</w:t>
            </w:r>
            <w:r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  <w:t>、背景亮度cd/m</w:t>
            </w:r>
            <w:r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  <w:vertAlign w:val="superscript"/>
              </w:rPr>
              <w:t>2</w:t>
            </w:r>
            <w:r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  <w:t>、每个亮度源（炫光值UGR、平均亮度cd/m</w:t>
            </w:r>
            <w:r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  <w:vertAlign w:val="superscript"/>
              </w:rPr>
              <w:t>2</w:t>
            </w:r>
            <w:r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  <w:t>、Guth位置指数、立体角m.sr）、单次曝光测量、高动态曝光测量HDR、可以自动定位视线方位</w:t>
            </w:r>
          </w:p>
          <w:p w:rsidR="00A07F03" w:rsidRDefault="00A07F03" w:rsidP="00A07F0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技术指标：</w:t>
            </w:r>
          </w:p>
          <w:p w:rsidR="00C1070A" w:rsidRPr="00C1070A" w:rsidRDefault="00C1070A" w:rsidP="00C1070A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1、</w:t>
            </w:r>
            <w:r w:rsidRPr="00C1070A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V(λ )匹配误差绝对值≤5.5%</w:t>
            </w:r>
          </w:p>
          <w:p w:rsidR="00C1070A" w:rsidRPr="00C1070A" w:rsidRDefault="00C1070A" w:rsidP="00C1070A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2、</w:t>
            </w:r>
            <w:r w:rsidRPr="00C1070A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像素尺寸2.4*2.4 um</w:t>
            </w:r>
          </w:p>
          <w:p w:rsidR="00C1070A" w:rsidRPr="00C1070A" w:rsidRDefault="00C1070A" w:rsidP="00C1070A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3、</w:t>
            </w:r>
            <w:r w:rsidRPr="00C1070A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像素：630万</w:t>
            </w:r>
          </w:p>
          <w:p w:rsidR="00C1070A" w:rsidRPr="00C1070A" w:rsidRDefault="00C1070A" w:rsidP="00C1070A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4、</w:t>
            </w:r>
            <w:r w:rsidRPr="00C1070A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分辨率：3072*2048</w:t>
            </w:r>
          </w:p>
          <w:p w:rsidR="00C1070A" w:rsidRPr="00C1070A" w:rsidRDefault="00C1070A" w:rsidP="00C1070A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5、</w:t>
            </w:r>
            <w:r w:rsidRPr="00C1070A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亮度范围：0.002cd/m2 ~600k cd/m2</w:t>
            </w:r>
          </w:p>
          <w:p w:rsidR="00C1070A" w:rsidRPr="00C1070A" w:rsidRDefault="00C1070A" w:rsidP="00C1070A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6、</w:t>
            </w:r>
            <w:r w:rsidRPr="00C1070A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测量精度：≤±5%（0.02）</w:t>
            </w:r>
          </w:p>
          <w:p w:rsidR="00C1070A" w:rsidRPr="00C1070A" w:rsidRDefault="00C1070A" w:rsidP="00C1070A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7、</w:t>
            </w:r>
            <w:r w:rsidRPr="00C1070A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重复性：±2%</w:t>
            </w:r>
          </w:p>
          <w:p w:rsidR="00C1070A" w:rsidRDefault="00C1070A" w:rsidP="00C1070A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8、</w:t>
            </w:r>
            <w:r w:rsidRPr="00C1070A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曝光时间：0.25us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-</w:t>
            </w:r>
            <w:r w:rsidRPr="00C1070A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2s（全程自动曝光）</w:t>
            </w:r>
          </w:p>
          <w:p w:rsidR="00A07F03" w:rsidRPr="00B12634" w:rsidRDefault="00C1070A" w:rsidP="00802E5B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9、</w:t>
            </w:r>
            <w:r w:rsidR="00A07F03"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连续工作时长：≥5小时（充满电量）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F03" w:rsidRPr="007C0871" w:rsidRDefault="00A07F03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01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07F03" w:rsidRPr="001F763A" w:rsidRDefault="00A07F03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F03" w:rsidRPr="006B05BF" w:rsidRDefault="00A07F03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现场操作培训不少于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天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F03" w:rsidRPr="006B05BF" w:rsidRDefault="00A07F03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7F03" w:rsidRPr="006B05BF" w:rsidRDefault="00A07F03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F03" w:rsidRPr="006B05BF" w:rsidRDefault="00A07F03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F03" w:rsidRPr="006B05BF" w:rsidRDefault="000B56A0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个月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F03" w:rsidRPr="006B05BF" w:rsidRDefault="00A07F03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A07F03" w:rsidRPr="009D1982" w:rsidTr="0014312E">
        <w:trPr>
          <w:trHeight w:val="522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F03" w:rsidRPr="009D1982" w:rsidRDefault="00A07F03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F03" w:rsidRDefault="00A07F03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彩色照度计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F03" w:rsidRPr="002379CD" w:rsidRDefault="00A07F03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781" w:rsidRDefault="00A83781" w:rsidP="00A07F03">
            <w:pPr>
              <w:widowControl/>
              <w:spacing w:line="240" w:lineRule="exact"/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类似项目参与经历不少于5次，并提供对应产品照片和技术参数。</w:t>
            </w:r>
          </w:p>
          <w:p w:rsidR="00C1070A" w:rsidRDefault="00C1070A" w:rsidP="00A07F0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满足GB/T5700-2008、</w:t>
            </w:r>
            <w:r w:rsidR="00802E5B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GB7793-2010、GB50034-2013等标准的测试要求</w:t>
            </w:r>
          </w:p>
          <w:p w:rsidR="00A07F03" w:rsidRDefault="00A07F03" w:rsidP="00A07F0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功能：</w:t>
            </w:r>
          </w:p>
          <w:p w:rsidR="00A07F03" w:rsidRDefault="00A07F03" w:rsidP="00A07F0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光照度、色品坐标、显色指数Ra、色容差、色纯度、峰值波长、主波长、半波宽、红色比、绿色比、蓝色比、R1~R15</w:t>
            </w:r>
          </w:p>
          <w:p w:rsidR="00A07F03" w:rsidRDefault="00A07F03" w:rsidP="00A07F0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技术指标：</w:t>
            </w:r>
          </w:p>
          <w:p w:rsidR="00A07F03" w:rsidRPr="00A07F03" w:rsidRDefault="00A07F03" w:rsidP="00A07F0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1、</w:t>
            </w:r>
            <w:r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波长范围：340nm~780nm</w:t>
            </w:r>
          </w:p>
          <w:p w:rsidR="00A07F03" w:rsidRPr="00A07F03" w:rsidRDefault="00A07F03" w:rsidP="00A07F0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2、</w:t>
            </w:r>
            <w:r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波长精度：3nm</w:t>
            </w:r>
          </w:p>
          <w:p w:rsidR="00A07F03" w:rsidRPr="00A07F03" w:rsidRDefault="00A07F03" w:rsidP="00A07F0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3、</w:t>
            </w:r>
            <w:r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积分时间：5ms</w:t>
            </w:r>
            <w:r w:rsidR="00802E5B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-</w:t>
            </w:r>
            <w:r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7000ms（自动曝光）</w:t>
            </w:r>
          </w:p>
          <w:p w:rsidR="00A07F03" w:rsidRPr="00A07F03" w:rsidRDefault="00A07F03" w:rsidP="00A07F0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4、</w:t>
            </w:r>
            <w:r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照度范围：10lx-150klx</w:t>
            </w:r>
          </w:p>
          <w:p w:rsidR="00A07F03" w:rsidRPr="00A07F03" w:rsidRDefault="00A07F03" w:rsidP="00A07F0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5、</w:t>
            </w:r>
            <w:r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光度线性：2%</w:t>
            </w:r>
          </w:p>
          <w:p w:rsidR="00A07F03" w:rsidRPr="00A07F03" w:rsidRDefault="00A07F03" w:rsidP="00A07F0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6、</w:t>
            </w:r>
            <w:r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色度范围：1000K~30000K</w:t>
            </w:r>
          </w:p>
          <w:p w:rsidR="00A07F03" w:rsidRPr="00B12634" w:rsidRDefault="00802E5B" w:rsidP="00802E5B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7</w:t>
            </w:r>
            <w:r w:rsid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、</w:t>
            </w:r>
            <w:r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连续工作时长：≥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4</w:t>
            </w:r>
            <w:r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小时（充满</w:t>
            </w:r>
            <w:r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lastRenderedPageBreak/>
              <w:t>电量）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F03" w:rsidRPr="007C0871" w:rsidRDefault="00A07F03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lastRenderedPageBreak/>
              <w:t>/</w:t>
            </w:r>
          </w:p>
        </w:tc>
        <w:tc>
          <w:tcPr>
            <w:tcW w:w="101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07F03" w:rsidRPr="001F763A" w:rsidRDefault="00A07F03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F03" w:rsidRPr="006B05BF" w:rsidRDefault="00A07F03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现场操作培训不少于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天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F03" w:rsidRPr="006B05BF" w:rsidRDefault="00A07F03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F03" w:rsidRPr="006B05BF" w:rsidRDefault="00A07F03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F03" w:rsidRPr="006B05BF" w:rsidRDefault="00A07F03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F03" w:rsidRPr="006B05BF" w:rsidRDefault="000B56A0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个月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F03" w:rsidRPr="006B05BF" w:rsidRDefault="00A07F03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501859" w:rsidRPr="009D1982" w:rsidTr="00E17A04">
        <w:trPr>
          <w:trHeight w:val="342"/>
        </w:trPr>
        <w:tc>
          <w:tcPr>
            <w:tcW w:w="14410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859" w:rsidRPr="009D1982" w:rsidRDefault="00501859" w:rsidP="00E17A04">
            <w:pPr>
              <w:widowControl/>
              <w:spacing w:line="4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lastRenderedPageBreak/>
              <w:t>备注:1、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报价金额中已含税、运费、</w:t>
            </w:r>
            <w:r w:rsidRPr="009D1982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安装调试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检测</w:t>
            </w:r>
            <w:r w:rsidRPr="009D1982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费等2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、</w:t>
            </w:r>
            <w:r w:rsidRPr="009D1982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提供的设备品牌、型号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、厂家</w:t>
            </w:r>
            <w:r w:rsidRPr="009D1982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不一致的，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需一</w:t>
            </w:r>
            <w:r w:rsidRPr="009D1982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并邮寄设备的相关资料。3、</w:t>
            </w:r>
            <w:r w:rsidRPr="0090501C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是否符合国家规定的安全技术标准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是指所供仪器是否具有相应的接地、漏电保护、高温高压报警、泄漏报警等功能，请在表格中单独注明。4、各项目将作为评审专家打分参考，需慎重填写。</w:t>
            </w:r>
          </w:p>
        </w:tc>
      </w:tr>
    </w:tbl>
    <w:p w:rsidR="00D40EFE" w:rsidRPr="00501859" w:rsidRDefault="00D40EFE"/>
    <w:sectPr w:rsidR="00D40EFE" w:rsidRPr="00501859" w:rsidSect="00122F66">
      <w:pgSz w:w="16838" w:h="11906" w:orient="landscape"/>
      <w:pgMar w:top="709" w:right="1440" w:bottom="56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553" w:rsidRDefault="00A93553" w:rsidP="00501859">
      <w:r>
        <w:separator/>
      </w:r>
    </w:p>
  </w:endnote>
  <w:endnote w:type="continuationSeparator" w:id="0">
    <w:p w:rsidR="00A93553" w:rsidRDefault="00A93553" w:rsidP="00501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553" w:rsidRDefault="00A93553" w:rsidP="00501859">
      <w:r>
        <w:separator/>
      </w:r>
    </w:p>
  </w:footnote>
  <w:footnote w:type="continuationSeparator" w:id="0">
    <w:p w:rsidR="00A93553" w:rsidRDefault="00A93553" w:rsidP="00501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859"/>
    <w:rsid w:val="000B56A0"/>
    <w:rsid w:val="00111B9F"/>
    <w:rsid w:val="0015598E"/>
    <w:rsid w:val="0017002F"/>
    <w:rsid w:val="001D33B1"/>
    <w:rsid w:val="00221E5E"/>
    <w:rsid w:val="003548A4"/>
    <w:rsid w:val="0039133E"/>
    <w:rsid w:val="00477002"/>
    <w:rsid w:val="00501859"/>
    <w:rsid w:val="0074743C"/>
    <w:rsid w:val="00802E5B"/>
    <w:rsid w:val="00830289"/>
    <w:rsid w:val="008831A6"/>
    <w:rsid w:val="00A07F03"/>
    <w:rsid w:val="00A83781"/>
    <w:rsid w:val="00A93553"/>
    <w:rsid w:val="00AC756D"/>
    <w:rsid w:val="00BA7B0E"/>
    <w:rsid w:val="00C1070A"/>
    <w:rsid w:val="00D012E5"/>
    <w:rsid w:val="00D40EFE"/>
    <w:rsid w:val="00DF4CF7"/>
    <w:rsid w:val="00E1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1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18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1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1859"/>
    <w:rPr>
      <w:sz w:val="18"/>
      <w:szCs w:val="18"/>
    </w:rPr>
  </w:style>
  <w:style w:type="paragraph" w:styleId="a5">
    <w:name w:val="List Paragraph"/>
    <w:basedOn w:val="a"/>
    <w:uiPriority w:val="34"/>
    <w:qFormat/>
    <w:rsid w:val="005018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叶凯</dc:creator>
  <cp:keywords/>
  <dc:description/>
  <cp:lastModifiedBy>叶凯</cp:lastModifiedBy>
  <cp:revision>4</cp:revision>
  <dcterms:created xsi:type="dcterms:W3CDTF">2021-08-02T06:34:00Z</dcterms:created>
  <dcterms:modified xsi:type="dcterms:W3CDTF">2021-08-13T06:23:00Z</dcterms:modified>
</cp:coreProperties>
</file>