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0" w:type="dxa"/>
        <w:tblInd w:w="-176" w:type="dxa"/>
        <w:tblLayout w:type="fixed"/>
        <w:tblLook w:val="0000"/>
      </w:tblPr>
      <w:tblGrid>
        <w:gridCol w:w="535"/>
        <w:gridCol w:w="964"/>
        <w:gridCol w:w="912"/>
        <w:gridCol w:w="1134"/>
        <w:gridCol w:w="1842"/>
        <w:gridCol w:w="1134"/>
        <w:gridCol w:w="1418"/>
        <w:gridCol w:w="1012"/>
        <w:gridCol w:w="689"/>
        <w:gridCol w:w="851"/>
        <w:gridCol w:w="991"/>
        <w:gridCol w:w="992"/>
        <w:gridCol w:w="689"/>
        <w:gridCol w:w="1247"/>
      </w:tblGrid>
      <w:tr w:rsidR="00501859" w:rsidRPr="00921BB7" w:rsidTr="00E17A04">
        <w:trPr>
          <w:trHeight w:val="310"/>
        </w:trPr>
        <w:tc>
          <w:tcPr>
            <w:tcW w:w="14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859" w:rsidRPr="009D1982" w:rsidRDefault="00501859" w:rsidP="00E17A04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36"/>
                <w:szCs w:val="36"/>
              </w:rPr>
            </w:pPr>
            <w:r w:rsidRPr="001D1987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附件</w:t>
            </w:r>
            <w:r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一</w:t>
            </w:r>
            <w:r w:rsidRPr="001D1987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 xml:space="preserve">                                                        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36"/>
                <w:szCs w:val="36"/>
              </w:rPr>
              <w:t>报  价  单</w:t>
            </w:r>
          </w:p>
        </w:tc>
      </w:tr>
      <w:tr w:rsidR="00501859" w:rsidRPr="009D1982" w:rsidTr="00E17A04">
        <w:trPr>
          <w:trHeight w:val="321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公司名称（盖章）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报价日期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邮寄地址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27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50185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33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传真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传真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50185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39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序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采购设备名称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技术指标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推荐生产厂家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质保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限</w:t>
            </w: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限</w:t>
            </w: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总价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货期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是否符合国家规定的安全技术标准</w:t>
            </w:r>
          </w:p>
        </w:tc>
      </w:tr>
      <w:tr w:rsidR="00A07F03" w:rsidRPr="009D1982" w:rsidTr="0014312E">
        <w:trPr>
          <w:trHeight w:val="5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9D1982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Default="00237396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高低温试验箱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396" w:rsidRDefault="00237396" w:rsidP="00A07F03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类似项目参与经历不少于5次，并提供对应产品照片和技术参数。</w:t>
            </w:r>
          </w:p>
          <w:p w:rsidR="00237396" w:rsidRDefault="00237396" w:rsidP="00A07F03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技术要求</w:t>
            </w:r>
          </w:p>
          <w:p w:rsidR="00237396" w:rsidRDefault="00237396" w:rsidP="00A07F03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1、</w:t>
            </w:r>
            <w:r w:rsidR="0072265C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最低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温度：≤</w:t>
            </w:r>
            <w:r w:rsidRPr="00237396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-60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℃</w:t>
            </w:r>
          </w:p>
          <w:p w:rsidR="00237396" w:rsidRDefault="00237396" w:rsidP="00A07F03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2、</w:t>
            </w:r>
            <w:r w:rsidR="0072265C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最高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温度：≥</w:t>
            </w:r>
            <w:r w:rsidRPr="00237396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150℃</w:t>
            </w:r>
          </w:p>
          <w:p w:rsidR="00237396" w:rsidRDefault="00237396" w:rsidP="00237396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3、箱体内径大小：≥</w:t>
            </w:r>
            <w:r w:rsidRPr="00237396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0.5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m</w:t>
            </w:r>
            <w:r w:rsidRPr="00237396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  <w:vertAlign w:val="superscript"/>
              </w:rPr>
              <w:t>3</w:t>
            </w:r>
          </w:p>
          <w:p w:rsidR="00A07F03" w:rsidRDefault="00237396" w:rsidP="00237396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4、</w:t>
            </w:r>
            <w:r w:rsidR="0072265C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可设置温度范围内，温度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升降速率：≥5K/min</w:t>
            </w:r>
          </w:p>
          <w:p w:rsidR="00237396" w:rsidRPr="00501859" w:rsidRDefault="00237396" w:rsidP="00237396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5、升降温度速率范围：0至最大速率范围内连续可调。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7C0871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7F03" w:rsidRPr="001F763A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不低于3年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237396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现场操作培训不少于</w:t>
            </w:r>
            <w:r w:rsidR="00237396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237396" w:rsidRDefault="00237396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 w:rsidRPr="00237396">
              <w:rPr>
                <w:rFonts w:hint="eastAsia"/>
                <w:sz w:val="18"/>
                <w:szCs w:val="18"/>
              </w:rPr>
              <w:t>20</w:t>
            </w:r>
            <w:r w:rsidR="00A07F03" w:rsidRPr="00237396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237396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A07F03"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42"/>
        </w:trPr>
        <w:tc>
          <w:tcPr>
            <w:tcW w:w="1441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859" w:rsidRPr="009D1982" w:rsidRDefault="00501859" w:rsidP="00E17A04">
            <w:pPr>
              <w:widowControl/>
              <w:spacing w:line="4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备注:1、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报价金额中已含税、运费、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安装调试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检测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费等2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提供的设备品牌、型号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、厂家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不一致的，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需一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并邮寄设备的相关资料。3、</w:t>
            </w:r>
            <w:r w:rsidRPr="0090501C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是否符合国家规定的安全技术标准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是指所供仪器是否具有相应的接地、漏电保护、高温高压报警、泄漏报警等功能，请在表格中单独注明。4、各项目将作为评审专家打分参考，需慎重填写。</w:t>
            </w:r>
          </w:p>
        </w:tc>
      </w:tr>
    </w:tbl>
    <w:p w:rsidR="00D40EFE" w:rsidRPr="00501859" w:rsidRDefault="00D40EFE"/>
    <w:sectPr w:rsidR="00D40EFE" w:rsidRPr="00501859" w:rsidSect="00122F66">
      <w:pgSz w:w="16838" w:h="11906" w:orient="landscape"/>
      <w:pgMar w:top="709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B5" w:rsidRDefault="00F861B5" w:rsidP="00501859">
      <w:r>
        <w:separator/>
      </w:r>
    </w:p>
  </w:endnote>
  <w:endnote w:type="continuationSeparator" w:id="0">
    <w:p w:rsidR="00F861B5" w:rsidRDefault="00F861B5" w:rsidP="0050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B5" w:rsidRDefault="00F861B5" w:rsidP="00501859">
      <w:r>
        <w:separator/>
      </w:r>
    </w:p>
  </w:footnote>
  <w:footnote w:type="continuationSeparator" w:id="0">
    <w:p w:rsidR="00F861B5" w:rsidRDefault="00F861B5" w:rsidP="00501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859"/>
    <w:rsid w:val="00111B9F"/>
    <w:rsid w:val="0015598E"/>
    <w:rsid w:val="001D33B1"/>
    <w:rsid w:val="00221E5E"/>
    <w:rsid w:val="00237396"/>
    <w:rsid w:val="0039133E"/>
    <w:rsid w:val="00477002"/>
    <w:rsid w:val="00501859"/>
    <w:rsid w:val="0072265C"/>
    <w:rsid w:val="0074743C"/>
    <w:rsid w:val="00830289"/>
    <w:rsid w:val="008831A6"/>
    <w:rsid w:val="00A07F03"/>
    <w:rsid w:val="00AC756D"/>
    <w:rsid w:val="00BA7B0E"/>
    <w:rsid w:val="00D012E5"/>
    <w:rsid w:val="00D40EFE"/>
    <w:rsid w:val="00D94BDF"/>
    <w:rsid w:val="00DF4CF7"/>
    <w:rsid w:val="00F8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859"/>
    <w:rPr>
      <w:sz w:val="18"/>
      <w:szCs w:val="18"/>
    </w:rPr>
  </w:style>
  <w:style w:type="paragraph" w:styleId="a5">
    <w:name w:val="List Paragraph"/>
    <w:basedOn w:val="a"/>
    <w:uiPriority w:val="34"/>
    <w:qFormat/>
    <w:rsid w:val="005018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叶凯</dc:creator>
  <cp:keywords/>
  <dc:description/>
  <cp:lastModifiedBy>叶凯</cp:lastModifiedBy>
  <cp:revision>3</cp:revision>
  <dcterms:created xsi:type="dcterms:W3CDTF">2021-08-02T06:34:00Z</dcterms:created>
  <dcterms:modified xsi:type="dcterms:W3CDTF">2021-08-13T04:25:00Z</dcterms:modified>
</cp:coreProperties>
</file>